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0EAF" w14:textId="437400AB" w:rsidR="009126AC" w:rsidRPr="00FC4CCB" w:rsidRDefault="0261CB3E" w:rsidP="002E7FD0">
      <w:pPr>
        <w:spacing w:after="0" w:line="240" w:lineRule="auto"/>
        <w:jc w:val="center"/>
        <w:rPr>
          <w:rFonts w:ascii="Lato" w:eastAsiaTheme="minorEastAsia" w:hAnsi="Lato"/>
          <w:b/>
          <w:bCs/>
          <w:sz w:val="28"/>
          <w:szCs w:val="28"/>
        </w:rPr>
      </w:pPr>
      <w:proofErr w:type="spellStart"/>
      <w:r w:rsidRPr="00FC4CCB">
        <w:rPr>
          <w:rFonts w:ascii="Lato" w:eastAsiaTheme="minorEastAsia" w:hAnsi="Lato"/>
          <w:b/>
          <w:bCs/>
          <w:sz w:val="28"/>
          <w:szCs w:val="28"/>
        </w:rPr>
        <w:t>Chestertons</w:t>
      </w:r>
      <w:proofErr w:type="spellEnd"/>
      <w:r w:rsidRPr="00FC4CCB">
        <w:rPr>
          <w:rFonts w:ascii="Lato" w:eastAsiaTheme="minorEastAsia" w:hAnsi="Lato"/>
          <w:b/>
          <w:bCs/>
          <w:sz w:val="28"/>
          <w:szCs w:val="28"/>
        </w:rPr>
        <w:t xml:space="preserve"> Global expands to Iraq, a key market in the Arab real estate landscape</w:t>
      </w:r>
    </w:p>
    <w:p w14:paraId="0FEEA4F6" w14:textId="77777777" w:rsidR="00FC4CCB" w:rsidRPr="00FC4CCB" w:rsidRDefault="00FC4CCB" w:rsidP="002E7FD0">
      <w:pPr>
        <w:spacing w:after="0" w:line="240" w:lineRule="auto"/>
        <w:jc w:val="center"/>
        <w:rPr>
          <w:rFonts w:ascii="Lato" w:eastAsia="Lato" w:hAnsi="Lato" w:cs="Lato"/>
        </w:rPr>
      </w:pPr>
    </w:p>
    <w:p w14:paraId="498A5818" w14:textId="77777777" w:rsidR="002E7FD0" w:rsidRPr="00FC4CCB" w:rsidRDefault="002E7FD0" w:rsidP="00FC4CCB">
      <w:pPr>
        <w:spacing w:after="0" w:line="240" w:lineRule="auto"/>
        <w:rPr>
          <w:rFonts w:ascii="Lato" w:eastAsia="Lato" w:hAnsi="Lato" w:cs="Lato"/>
        </w:rPr>
      </w:pPr>
      <w:proofErr w:type="spellStart"/>
      <w:r w:rsidRPr="00FC4CCB">
        <w:rPr>
          <w:rFonts w:ascii="Lato" w:eastAsia="Lato" w:hAnsi="Lato" w:cs="Lato"/>
        </w:rPr>
        <w:t>Chestertons</w:t>
      </w:r>
      <w:proofErr w:type="spellEnd"/>
      <w:r w:rsidRPr="00FC4CCB">
        <w:rPr>
          <w:rFonts w:ascii="Lato" w:eastAsia="Lato" w:hAnsi="Lato" w:cs="Lato"/>
        </w:rPr>
        <w:t xml:space="preserve"> Global has confirmed its entry into Baghdad, Iraq, as part of its continued strategic expansion across the Middle East. The new presence will operate under the </w:t>
      </w:r>
      <w:proofErr w:type="spellStart"/>
      <w:r w:rsidRPr="00FC4CCB">
        <w:rPr>
          <w:rFonts w:ascii="Lato" w:eastAsia="Lato" w:hAnsi="Lato" w:cs="Lato"/>
        </w:rPr>
        <w:t>Chestertons</w:t>
      </w:r>
      <w:proofErr w:type="spellEnd"/>
      <w:r w:rsidRPr="00FC4CCB">
        <w:rPr>
          <w:rFonts w:ascii="Lato" w:eastAsia="Lato" w:hAnsi="Lato" w:cs="Lato"/>
        </w:rPr>
        <w:t xml:space="preserve"> Global brand, marking a key milestone in the company’s international growth journey.</w:t>
      </w:r>
    </w:p>
    <w:p w14:paraId="61BC2FC8" w14:textId="77777777" w:rsidR="00FC4CCB" w:rsidRPr="002E7FD0" w:rsidRDefault="00FC4CCB" w:rsidP="00FC4CCB">
      <w:pPr>
        <w:spacing w:after="0" w:line="240" w:lineRule="auto"/>
        <w:rPr>
          <w:rFonts w:eastAsiaTheme="minorEastAsia"/>
        </w:rPr>
      </w:pPr>
    </w:p>
    <w:p w14:paraId="4AC53E72" w14:textId="7A2EBEDC" w:rsidR="7CB4CDD9" w:rsidRDefault="7CB4CDD9" w:rsidP="00FC4CCB">
      <w:pPr>
        <w:spacing w:after="0" w:line="240" w:lineRule="auto"/>
        <w:rPr>
          <w:rFonts w:ascii="Lato" w:eastAsia="Lato" w:hAnsi="Lato" w:cs="Lato"/>
        </w:rPr>
      </w:pPr>
      <w:r w:rsidRPr="45ACFCEB">
        <w:rPr>
          <w:rFonts w:ascii="Lato" w:eastAsia="Lato" w:hAnsi="Lato" w:cs="Lato"/>
        </w:rPr>
        <w:t xml:space="preserve">Iraq’s real estate market continues to show strong momentum, making it a natural next step for </w:t>
      </w:r>
      <w:proofErr w:type="spellStart"/>
      <w:r w:rsidRPr="45ACFCEB">
        <w:rPr>
          <w:rFonts w:ascii="Lato" w:eastAsia="Lato" w:hAnsi="Lato" w:cs="Lato"/>
        </w:rPr>
        <w:t>Chestertons</w:t>
      </w:r>
      <w:proofErr w:type="spellEnd"/>
      <w:r w:rsidRPr="45ACFCEB">
        <w:rPr>
          <w:rFonts w:ascii="Lato" w:eastAsia="Lato" w:hAnsi="Lato" w:cs="Lato"/>
        </w:rPr>
        <w:t xml:space="preserve"> </w:t>
      </w:r>
      <w:proofErr w:type="spellStart"/>
      <w:r w:rsidRPr="45ACFCEB">
        <w:rPr>
          <w:rFonts w:ascii="Lato" w:eastAsia="Lato" w:hAnsi="Lato" w:cs="Lato"/>
        </w:rPr>
        <w:t>Global’s</w:t>
      </w:r>
      <w:proofErr w:type="spellEnd"/>
      <w:r w:rsidRPr="45ACFCEB">
        <w:rPr>
          <w:rFonts w:ascii="Lato" w:eastAsia="Lato" w:hAnsi="Lato" w:cs="Lato"/>
        </w:rPr>
        <w:t xml:space="preserve"> regional expansion. </w:t>
      </w:r>
      <w:r w:rsidR="30212D31" w:rsidRPr="45ACFCEB">
        <w:rPr>
          <w:rFonts w:ascii="Lato" w:eastAsia="Lato" w:hAnsi="Lato" w:cs="Lato"/>
        </w:rPr>
        <w:t xml:space="preserve">The market was valued at approximately $1.12 billion in 2024, placing it among the largest in the Arab world, with projected annual growth of 6%. Government-backed infrastructure </w:t>
      </w:r>
      <w:proofErr w:type="spellStart"/>
      <w:r w:rsidR="30212D31" w:rsidRPr="45ACFCEB">
        <w:rPr>
          <w:rFonts w:ascii="Lato" w:eastAsia="Lato" w:hAnsi="Lato" w:cs="Lato"/>
        </w:rPr>
        <w:t>programmes</w:t>
      </w:r>
      <w:proofErr w:type="spellEnd"/>
      <w:r w:rsidR="30212D31" w:rsidRPr="45ACFCEB">
        <w:rPr>
          <w:rFonts w:ascii="Lato" w:eastAsia="Lato" w:hAnsi="Lato" w:cs="Lato"/>
        </w:rPr>
        <w:t xml:space="preserve"> — including a national initiative to build approximately one million housing units across Iraq’s 15 governorates — are driving sustained demand from both local and international buyers.</w:t>
      </w:r>
    </w:p>
    <w:p w14:paraId="2CE2FEC4" w14:textId="77777777" w:rsidR="00FC4CCB" w:rsidRDefault="00FC4CCB" w:rsidP="00FC4CCB">
      <w:pPr>
        <w:spacing w:after="0" w:line="240" w:lineRule="auto"/>
        <w:rPr>
          <w:rFonts w:ascii="Lato" w:eastAsia="Lato" w:hAnsi="Lato" w:cs="Lato"/>
        </w:rPr>
      </w:pPr>
    </w:p>
    <w:p w14:paraId="46649CAD" w14:textId="6A727C35" w:rsidR="30212D31" w:rsidRDefault="30212D31" w:rsidP="00FC4CCB">
      <w:pPr>
        <w:spacing w:after="0" w:line="240" w:lineRule="auto"/>
        <w:rPr>
          <w:rFonts w:ascii="Lato" w:eastAsia="Lato" w:hAnsi="Lato" w:cs="Lato"/>
        </w:rPr>
      </w:pPr>
      <w:r w:rsidRPr="45ACFCEB">
        <w:rPr>
          <w:rFonts w:ascii="Lato" w:eastAsia="Lato" w:hAnsi="Lato" w:cs="Lato"/>
        </w:rPr>
        <w:t>Baghdad</w:t>
      </w:r>
      <w:proofErr w:type="gramStart"/>
      <w:r w:rsidRPr="45ACFCEB">
        <w:rPr>
          <w:rFonts w:ascii="Lato" w:eastAsia="Lato" w:hAnsi="Lato" w:cs="Lato"/>
        </w:rPr>
        <w:t>, in particular, is</w:t>
      </w:r>
      <w:proofErr w:type="gramEnd"/>
      <w:r w:rsidRPr="45ACFCEB">
        <w:rPr>
          <w:rFonts w:ascii="Lato" w:eastAsia="Lato" w:hAnsi="Lato" w:cs="Lato"/>
        </w:rPr>
        <w:t xml:space="preserve"> experiencing renewed interest and long-term development activity. The construction sector is projected to grow at an average annual rate of 4.9% from 2025 to 2028, supported by large-scale public investment and international collaboration across critical infrastructure sectors. </w:t>
      </w:r>
      <w:r w:rsidR="3F7520FF" w:rsidRPr="45ACFCEB">
        <w:rPr>
          <w:rFonts w:ascii="Lato" w:eastAsia="Lato" w:hAnsi="Lato" w:cs="Lato"/>
        </w:rPr>
        <w:t xml:space="preserve">These indicators point to a </w:t>
      </w:r>
      <w:proofErr w:type="spellStart"/>
      <w:r w:rsidR="3F7520FF" w:rsidRPr="45ACFCEB">
        <w:rPr>
          <w:rFonts w:ascii="Lato" w:eastAsia="Lato" w:hAnsi="Lato" w:cs="Lato"/>
        </w:rPr>
        <w:t>stabilising</w:t>
      </w:r>
      <w:proofErr w:type="spellEnd"/>
      <w:r w:rsidR="3F7520FF" w:rsidRPr="45ACFCEB">
        <w:rPr>
          <w:rFonts w:ascii="Lato" w:eastAsia="Lato" w:hAnsi="Lato" w:cs="Lato"/>
        </w:rPr>
        <w:t xml:space="preserve"> and increasingly investment-ready market — aligning with </w:t>
      </w:r>
      <w:proofErr w:type="spellStart"/>
      <w:r w:rsidR="3F7520FF" w:rsidRPr="45ACFCEB">
        <w:rPr>
          <w:rFonts w:ascii="Lato" w:eastAsia="Lato" w:hAnsi="Lato" w:cs="Lato"/>
        </w:rPr>
        <w:t>Chestertons</w:t>
      </w:r>
      <w:proofErr w:type="spellEnd"/>
      <w:r w:rsidR="3F7520FF" w:rsidRPr="45ACFCEB">
        <w:rPr>
          <w:rFonts w:ascii="Lato" w:eastAsia="Lato" w:hAnsi="Lato" w:cs="Lato"/>
        </w:rPr>
        <w:t xml:space="preserve"> </w:t>
      </w:r>
      <w:proofErr w:type="spellStart"/>
      <w:r w:rsidR="3F7520FF" w:rsidRPr="45ACFCEB">
        <w:rPr>
          <w:rFonts w:ascii="Lato" w:eastAsia="Lato" w:hAnsi="Lato" w:cs="Lato"/>
        </w:rPr>
        <w:t>Global’s</w:t>
      </w:r>
      <w:proofErr w:type="spellEnd"/>
      <w:r w:rsidR="3F7520FF" w:rsidRPr="45ACFCEB">
        <w:rPr>
          <w:rFonts w:ascii="Lato" w:eastAsia="Lato" w:hAnsi="Lato" w:cs="Lato"/>
        </w:rPr>
        <w:t xml:space="preserve"> strategy of entering high-potential territories through trusted local partnerships.</w:t>
      </w:r>
    </w:p>
    <w:p w14:paraId="190F81B8" w14:textId="77777777" w:rsidR="00FC4CCB" w:rsidRDefault="00FC4CCB" w:rsidP="00FC4CCB">
      <w:pPr>
        <w:spacing w:after="0" w:line="240" w:lineRule="auto"/>
        <w:rPr>
          <w:rFonts w:ascii="Lato" w:eastAsia="Lato" w:hAnsi="Lato" w:cs="Lato"/>
        </w:rPr>
      </w:pPr>
    </w:p>
    <w:p w14:paraId="03C439F5" w14:textId="100EE424" w:rsidR="14EB2129" w:rsidRDefault="14EB2129" w:rsidP="002E7FD0">
      <w:pPr>
        <w:spacing w:after="0" w:line="240" w:lineRule="auto"/>
        <w:rPr>
          <w:rFonts w:ascii="Lato" w:eastAsia="Lato" w:hAnsi="Lato" w:cs="Lato"/>
        </w:rPr>
      </w:pPr>
      <w:r w:rsidRPr="45ACFCEB">
        <w:rPr>
          <w:rFonts w:ascii="Lato" w:eastAsia="Lato" w:hAnsi="Lato" w:cs="Lato"/>
        </w:rPr>
        <w:t xml:space="preserve">Reflecting on the decision to enter Iraq, Mohamed Mussa, Executive Director at </w:t>
      </w:r>
      <w:proofErr w:type="spellStart"/>
      <w:r w:rsidRPr="45ACFCEB">
        <w:rPr>
          <w:rFonts w:ascii="Lato" w:eastAsia="Lato" w:hAnsi="Lato" w:cs="Lato"/>
        </w:rPr>
        <w:t>Chestertons</w:t>
      </w:r>
      <w:proofErr w:type="spellEnd"/>
      <w:r w:rsidRPr="45ACFCEB">
        <w:rPr>
          <w:rFonts w:ascii="Lato" w:eastAsia="Lato" w:hAnsi="Lato" w:cs="Lato"/>
        </w:rPr>
        <w:t xml:space="preserve"> Global, stated: “Iraq is a market we’ve been watching closely, and it’s clear that there is both momentum and maturity building within the sector. Our entry is based on strong fundamentals and a belief in the long-term value this market can deliver for our clients.”</w:t>
      </w:r>
    </w:p>
    <w:p w14:paraId="6D07EE1E" w14:textId="77777777" w:rsidR="002E7FD0" w:rsidRDefault="002E7FD0" w:rsidP="002E7FD0">
      <w:pPr>
        <w:spacing w:after="0" w:line="240" w:lineRule="auto"/>
      </w:pPr>
    </w:p>
    <w:p w14:paraId="022DF010" w14:textId="16B564F6" w:rsidR="471B1791" w:rsidRDefault="471B1791" w:rsidP="002E7FD0">
      <w:pPr>
        <w:spacing w:after="0" w:line="240" w:lineRule="auto"/>
        <w:rPr>
          <w:rFonts w:ascii="Lato" w:eastAsia="Lato" w:hAnsi="Lato" w:cs="Lato"/>
        </w:rPr>
      </w:pPr>
      <w:r w:rsidRPr="45ACFCEB">
        <w:rPr>
          <w:rFonts w:ascii="Lato" w:eastAsia="Lato" w:hAnsi="Lato" w:cs="Lato"/>
        </w:rPr>
        <w:t>The new Baghdad office will offer a full range of property services, including residential and commercial sales and lettings, investment advisory, valuations, and market research. With a locally rooted team already active in the market, the launch creates a foundation for strong brand alignment, enhanced service standards, and sustainable long-term growth.</w:t>
      </w:r>
    </w:p>
    <w:p w14:paraId="3E067A99" w14:textId="77777777" w:rsidR="002E7FD0" w:rsidRDefault="002E7FD0" w:rsidP="002E7FD0">
      <w:pPr>
        <w:spacing w:after="0" w:line="240" w:lineRule="auto"/>
      </w:pPr>
    </w:p>
    <w:p w14:paraId="3354813C" w14:textId="424473A9" w:rsidR="14EB2129" w:rsidRDefault="14EB2129" w:rsidP="002E7FD0">
      <w:pPr>
        <w:spacing w:after="0" w:line="240" w:lineRule="auto"/>
        <w:rPr>
          <w:rFonts w:ascii="Lato" w:eastAsia="Lato" w:hAnsi="Lato" w:cs="Lato"/>
        </w:rPr>
      </w:pPr>
      <w:proofErr w:type="spellStart"/>
      <w:r w:rsidRPr="45ACFCEB">
        <w:rPr>
          <w:rFonts w:ascii="Lato" w:eastAsia="Lato" w:hAnsi="Lato" w:cs="Lato"/>
        </w:rPr>
        <w:t>Parikshat</w:t>
      </w:r>
      <w:proofErr w:type="spellEnd"/>
      <w:r w:rsidRPr="45ACFCEB">
        <w:rPr>
          <w:rFonts w:ascii="Lato" w:eastAsia="Lato" w:hAnsi="Lato" w:cs="Lato"/>
        </w:rPr>
        <w:t xml:space="preserve"> Chawla, Director and Head of Global Operations at </w:t>
      </w:r>
      <w:proofErr w:type="spellStart"/>
      <w:r w:rsidRPr="45ACFCEB">
        <w:rPr>
          <w:rFonts w:ascii="Lato" w:eastAsia="Lato" w:hAnsi="Lato" w:cs="Lato"/>
        </w:rPr>
        <w:t>Chestertons</w:t>
      </w:r>
      <w:proofErr w:type="spellEnd"/>
      <w:r w:rsidRPr="45ACFCEB">
        <w:rPr>
          <w:rFonts w:ascii="Lato" w:eastAsia="Lato" w:hAnsi="Lato" w:cs="Lato"/>
        </w:rPr>
        <w:t xml:space="preserve"> Global, added, “This step strengthens what’s already working locally by adding the tools, systems, and international network of a global brand. It’s a collaborative approach aimed at unlocking even more potential in an increasingly dynamic market.”</w:t>
      </w:r>
    </w:p>
    <w:p w14:paraId="1189D392" w14:textId="77777777" w:rsidR="002E7FD0" w:rsidRDefault="002E7FD0" w:rsidP="002E7FD0">
      <w:pPr>
        <w:spacing w:after="0" w:line="240" w:lineRule="auto"/>
      </w:pPr>
    </w:p>
    <w:p w14:paraId="03B90C2A" w14:textId="740E67F9" w:rsidR="00FC4CCB" w:rsidRDefault="55E319D2" w:rsidP="002E7FD0">
      <w:pPr>
        <w:spacing w:after="0" w:line="240" w:lineRule="auto"/>
        <w:rPr>
          <w:rFonts w:ascii="Lato" w:eastAsia="Lato" w:hAnsi="Lato" w:cs="Lato"/>
        </w:rPr>
      </w:pPr>
      <w:r w:rsidRPr="45ACFCEB">
        <w:rPr>
          <w:rFonts w:ascii="Lato" w:eastAsia="Lato" w:hAnsi="Lato" w:cs="Lato"/>
        </w:rPr>
        <w:t xml:space="preserve">Iraq becomes the latest addition to </w:t>
      </w:r>
      <w:proofErr w:type="spellStart"/>
      <w:r w:rsidRPr="45ACFCEB">
        <w:rPr>
          <w:rFonts w:ascii="Lato" w:eastAsia="Lato" w:hAnsi="Lato" w:cs="Lato"/>
        </w:rPr>
        <w:t>Chestertons</w:t>
      </w:r>
      <w:proofErr w:type="spellEnd"/>
      <w:r w:rsidRPr="45ACFCEB">
        <w:rPr>
          <w:rFonts w:ascii="Lato" w:eastAsia="Lato" w:hAnsi="Lato" w:cs="Lato"/>
        </w:rPr>
        <w:t xml:space="preserve"> </w:t>
      </w:r>
      <w:proofErr w:type="spellStart"/>
      <w:r w:rsidRPr="45ACFCEB">
        <w:rPr>
          <w:rFonts w:ascii="Lato" w:eastAsia="Lato" w:hAnsi="Lato" w:cs="Lato"/>
        </w:rPr>
        <w:t>Global’s</w:t>
      </w:r>
      <w:proofErr w:type="spellEnd"/>
      <w:r w:rsidRPr="45ACFCEB">
        <w:rPr>
          <w:rFonts w:ascii="Lato" w:eastAsia="Lato" w:hAnsi="Lato" w:cs="Lato"/>
        </w:rPr>
        <w:t xml:space="preserve"> international network, which now spans over 100 offices across 21 countries. The Baghdad launch marks a significant step forward in the firm’s presence across the Middle East and its ability to support clients in one of the region’s most promising real estate landscapes.</w:t>
      </w:r>
    </w:p>
    <w:p w14:paraId="7CE829F8" w14:textId="77777777" w:rsidR="002E7FD0" w:rsidRDefault="002E7FD0" w:rsidP="002E7FD0">
      <w:pPr>
        <w:spacing w:after="0" w:line="240" w:lineRule="auto"/>
        <w:rPr>
          <w:rFonts w:ascii="Lato" w:eastAsia="Lato" w:hAnsi="Lato" w:cs="Lato"/>
        </w:rPr>
      </w:pPr>
    </w:p>
    <w:p w14:paraId="346AA7CA" w14:textId="77777777" w:rsidR="009126AC" w:rsidRDefault="009126AC" w:rsidP="009126AC">
      <w:pPr>
        <w:spacing w:after="0" w:line="240" w:lineRule="auto"/>
        <w:jc w:val="center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>ENDS</w:t>
      </w: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0BF36D5A" w14:textId="77777777" w:rsidR="00531A77" w:rsidRPr="009126AC" w:rsidRDefault="00531A77" w:rsidP="009126AC">
      <w:pPr>
        <w:spacing w:after="0" w:line="240" w:lineRule="auto"/>
        <w:jc w:val="center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</w:p>
    <w:p w14:paraId="7AB3B83C" w14:textId="77777777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>Notes to editors</w:t>
      </w: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5BAFDD6A" w14:textId="77777777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04CE22DF" w14:textId="77777777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 xml:space="preserve">About </w:t>
      </w:r>
      <w:proofErr w:type="spellStart"/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 xml:space="preserve"> Global:</w:t>
      </w: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731C860C" w14:textId="5D06C2DC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 Global is a network of leading international real estate companies. The firm sits within the wider </w:t>
      </w: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 brand which was established in the UK in 1805. </w:t>
      </w: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 Global is committed to its long-standing heritage of providing exceptional service to its clients across the globe. The firm has enjoyed a legacy of success and now has a strong global network in more than </w:t>
      </w:r>
      <w:r w:rsidR="0096504F">
        <w:rPr>
          <w:rFonts w:ascii="Lato" w:eastAsia="Times New Roman" w:hAnsi="Lato" w:cs="Arial"/>
          <w:color w:val="000000"/>
          <w:kern w:val="0"/>
          <w14:ligatures w14:val="none"/>
        </w:rPr>
        <w:t>2</w:t>
      </w:r>
      <w:r w:rsidR="003858FC">
        <w:rPr>
          <w:rFonts w:ascii="Lato" w:eastAsia="Times New Roman" w:hAnsi="Lato" w:cs="Arial"/>
          <w:color w:val="000000"/>
          <w:kern w:val="0"/>
          <w14:ligatures w14:val="none"/>
        </w:rPr>
        <w:t xml:space="preserve">0 </w:t>
      </w: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countries. With a rich history of more than 200 years and a wealth of experience in global real estate, the business offers a comprehensive range of client services, from property sales and lettings to commercial services and investment advisory. In line with its founding principles, </w:t>
      </w: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 Global actively supports charitable initiatives and community projects, reflecting its dedication to making a positive, long-term impact on the communities it serves through the </w:t>
      </w: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Chestertons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 xml:space="preserve"> Foundation, a non-profit charitable </w:t>
      </w:r>
      <w:proofErr w:type="spellStart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organisation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.  </w:t>
      </w:r>
    </w:p>
    <w:p w14:paraId="284F6DAD" w14:textId="77777777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0A2F4E4F" w14:textId="77777777" w:rsidR="009126AC" w:rsidRPr="009126AC" w:rsidRDefault="009126AC" w:rsidP="009126AC">
      <w:pPr>
        <w:spacing w:after="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hyperlink r:id="rId6" w:tgtFrame="_blank" w:tooltip="https://www.chestertons.com/" w:history="1">
        <w:r w:rsidRPr="009126AC">
          <w:rPr>
            <w:rFonts w:ascii="Lato" w:eastAsia="Times New Roman" w:hAnsi="Lato" w:cs="Arial"/>
            <w:color w:val="0563C1"/>
            <w:kern w:val="0"/>
            <w:u w:val="single"/>
            <w:bdr w:val="none" w:sz="0" w:space="0" w:color="auto" w:frame="1"/>
            <w14:ligatures w14:val="none"/>
          </w:rPr>
          <w:t>https://www.chestertons.com/</w:t>
        </w:r>
      </w:hyperlink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53DBD29D" w14:textId="77777777" w:rsidR="009126AC" w:rsidRPr="009126AC" w:rsidRDefault="009126AC" w:rsidP="009126AC">
      <w:pPr>
        <w:spacing w:after="10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 w:rsidRPr="009126AC">
        <w:rPr>
          <w:rFonts w:ascii="Lato" w:eastAsia="Times New Roman" w:hAnsi="Lato" w:cs="Arial"/>
          <w:b/>
          <w:bCs/>
          <w:color w:val="000000"/>
          <w:kern w:val="0"/>
          <w14:ligatures w14:val="none"/>
        </w:rPr>
        <w:t>For more information please contact: </w:t>
      </w:r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 </w:t>
      </w:r>
    </w:p>
    <w:p w14:paraId="332BA76E" w14:textId="5F9EB812" w:rsidR="009126AC" w:rsidRPr="009126AC" w:rsidRDefault="009126AC" w:rsidP="009126AC">
      <w:pPr>
        <w:spacing w:after="100" w:line="240" w:lineRule="auto"/>
        <w:textAlignment w:val="baseline"/>
        <w:rPr>
          <w:rFonts w:ascii="Lato" w:eastAsia="Times New Roman" w:hAnsi="Lato" w:cs="Arial"/>
          <w:color w:val="000000"/>
          <w:kern w:val="0"/>
          <w14:ligatures w14:val="none"/>
        </w:rPr>
      </w:pPr>
      <w:r>
        <w:rPr>
          <w:rFonts w:ascii="Lato" w:eastAsia="Times New Roman" w:hAnsi="Lato" w:cs="Arial"/>
          <w:color w:val="000000"/>
          <w:kern w:val="0"/>
          <w14:ligatures w14:val="none"/>
        </w:rPr>
        <w:t xml:space="preserve">Anita </w:t>
      </w:r>
      <w:proofErr w:type="spellStart"/>
      <w:r>
        <w:rPr>
          <w:rFonts w:ascii="Lato" w:eastAsia="Times New Roman" w:hAnsi="Lato" w:cs="Arial"/>
          <w:color w:val="000000"/>
          <w:kern w:val="0"/>
          <w14:ligatures w14:val="none"/>
        </w:rPr>
        <w:t>Gryson</w:t>
      </w:r>
      <w:proofErr w:type="spellEnd"/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, Director, Relevance International e: </w:t>
      </w:r>
      <w:hyperlink r:id="rId7" w:tooltip="mailto:jamie@relevanceinternational.com" w:history="1">
        <w:r>
          <w:rPr>
            <w:rFonts w:ascii="Lato" w:eastAsia="Times New Roman" w:hAnsi="Lato" w:cs="Arial"/>
            <w:color w:val="0563C1"/>
            <w:kern w:val="0"/>
            <w:u w:val="single"/>
            <w:bdr w:val="none" w:sz="0" w:space="0" w:color="auto" w:frame="1"/>
            <w14:ligatures w14:val="none"/>
          </w:rPr>
          <w:t>anita</w:t>
        </w:r>
        <w:r w:rsidRPr="009126AC">
          <w:rPr>
            <w:rFonts w:ascii="Lato" w:eastAsia="Times New Roman" w:hAnsi="Lato" w:cs="Arial"/>
            <w:color w:val="0563C1"/>
            <w:kern w:val="0"/>
            <w:u w:val="single"/>
            <w:bdr w:val="none" w:sz="0" w:space="0" w:color="auto" w:frame="1"/>
            <w14:ligatures w14:val="none"/>
          </w:rPr>
          <w:t>@relevanceinternational.com</w:t>
        </w:r>
      </w:hyperlink>
      <w:r w:rsidRPr="009126AC">
        <w:rPr>
          <w:rFonts w:ascii="Lato" w:eastAsia="Times New Roman" w:hAnsi="Lato" w:cs="Arial"/>
          <w:color w:val="000000"/>
          <w:kern w:val="0"/>
          <w14:ligatures w14:val="none"/>
        </w:rPr>
        <w:t> </w:t>
      </w:r>
    </w:p>
    <w:p w14:paraId="2CC2EAFF" w14:textId="77777777" w:rsidR="009126AC" w:rsidRPr="009126AC" w:rsidRDefault="009126AC" w:rsidP="009126A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36C7A0" w14:textId="77777777" w:rsidR="009126AC" w:rsidRDefault="009126AC" w:rsidP="00DE08F4">
      <w:pPr>
        <w:spacing w:after="0" w:line="240" w:lineRule="auto"/>
        <w:rPr>
          <w:rFonts w:ascii="Lato" w:eastAsia="Times New Roman" w:hAnsi="Lato" w:cs="Times New Roman"/>
          <w:kern w:val="0"/>
          <w14:ligatures w14:val="none"/>
        </w:rPr>
      </w:pPr>
    </w:p>
    <w:p w14:paraId="136390DA" w14:textId="77777777" w:rsidR="009126AC" w:rsidRPr="00DE08F4" w:rsidRDefault="009126AC" w:rsidP="00DE08F4">
      <w:pPr>
        <w:spacing w:after="0" w:line="240" w:lineRule="auto"/>
        <w:rPr>
          <w:rFonts w:ascii="Lato" w:eastAsia="Times New Roman" w:hAnsi="Lato" w:cs="Times New Roman"/>
          <w:kern w:val="0"/>
          <w14:ligatures w14:val="none"/>
        </w:rPr>
      </w:pPr>
    </w:p>
    <w:p w14:paraId="2C4DB321" w14:textId="18B50E1D" w:rsidR="00276970" w:rsidRPr="001C653C" w:rsidRDefault="00276970" w:rsidP="001C653C"/>
    <w:sectPr w:rsidR="00276970" w:rsidRPr="001C6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008C" w14:textId="77777777" w:rsidR="00B13256" w:rsidRDefault="00B13256" w:rsidP="009126AC">
      <w:pPr>
        <w:spacing w:after="0" w:line="240" w:lineRule="auto"/>
      </w:pPr>
      <w:r>
        <w:separator/>
      </w:r>
    </w:p>
  </w:endnote>
  <w:endnote w:type="continuationSeparator" w:id="0">
    <w:p w14:paraId="12A19416" w14:textId="77777777" w:rsidR="00B13256" w:rsidRDefault="00B13256" w:rsidP="009126AC">
      <w:pPr>
        <w:spacing w:after="0" w:line="240" w:lineRule="auto"/>
      </w:pPr>
      <w:r>
        <w:continuationSeparator/>
      </w:r>
    </w:p>
  </w:endnote>
  <w:endnote w:type="continuationNotice" w:id="1">
    <w:p w14:paraId="26CFC56E" w14:textId="77777777" w:rsidR="00B13256" w:rsidRDefault="00B13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4A8C" w14:textId="00D3666F" w:rsidR="009126AC" w:rsidRDefault="009126AC" w:rsidP="009126AC">
    <w:pPr>
      <w:pStyle w:val="Footer"/>
      <w:jc w:val="center"/>
    </w:pPr>
    <w:r>
      <w:rPr>
        <w:noProof/>
      </w:rPr>
      <w:drawing>
        <wp:inline distT="0" distB="0" distL="0" distR="0" wp14:anchorId="490D5A35" wp14:editId="03F0E429">
          <wp:extent cx="2667000" cy="482600"/>
          <wp:effectExtent l="0" t="0" r="0" b="0"/>
          <wp:docPr id="182736100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6100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2238" w14:textId="77777777" w:rsidR="00B13256" w:rsidRDefault="00B13256" w:rsidP="009126AC">
      <w:pPr>
        <w:spacing w:after="0" w:line="240" w:lineRule="auto"/>
      </w:pPr>
      <w:r>
        <w:separator/>
      </w:r>
    </w:p>
  </w:footnote>
  <w:footnote w:type="continuationSeparator" w:id="0">
    <w:p w14:paraId="7DC30D63" w14:textId="77777777" w:rsidR="00B13256" w:rsidRDefault="00B13256" w:rsidP="009126AC">
      <w:pPr>
        <w:spacing w:after="0" w:line="240" w:lineRule="auto"/>
      </w:pPr>
      <w:r>
        <w:continuationSeparator/>
      </w:r>
    </w:p>
  </w:footnote>
  <w:footnote w:type="continuationNotice" w:id="1">
    <w:p w14:paraId="07EBBF53" w14:textId="77777777" w:rsidR="00B13256" w:rsidRDefault="00B1325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32"/>
    <w:rsid w:val="000E5552"/>
    <w:rsid w:val="00141057"/>
    <w:rsid w:val="001C653C"/>
    <w:rsid w:val="0024696E"/>
    <w:rsid w:val="00276970"/>
    <w:rsid w:val="002E6232"/>
    <w:rsid w:val="002E7FD0"/>
    <w:rsid w:val="0033108B"/>
    <w:rsid w:val="003858FC"/>
    <w:rsid w:val="003B12BE"/>
    <w:rsid w:val="003D007C"/>
    <w:rsid w:val="004D740E"/>
    <w:rsid w:val="00520D14"/>
    <w:rsid w:val="00531A77"/>
    <w:rsid w:val="005A6E4A"/>
    <w:rsid w:val="007E1602"/>
    <w:rsid w:val="0082155C"/>
    <w:rsid w:val="009126AC"/>
    <w:rsid w:val="0096504F"/>
    <w:rsid w:val="009F473D"/>
    <w:rsid w:val="00A02644"/>
    <w:rsid w:val="00A332FF"/>
    <w:rsid w:val="00B13256"/>
    <w:rsid w:val="00B47484"/>
    <w:rsid w:val="00D71E90"/>
    <w:rsid w:val="00D9669A"/>
    <w:rsid w:val="00DB3857"/>
    <w:rsid w:val="00DB677C"/>
    <w:rsid w:val="00DE08F4"/>
    <w:rsid w:val="00E07FA4"/>
    <w:rsid w:val="00F47502"/>
    <w:rsid w:val="00FC4CCB"/>
    <w:rsid w:val="0261CB3E"/>
    <w:rsid w:val="03A22253"/>
    <w:rsid w:val="14EB2129"/>
    <w:rsid w:val="1F594BBF"/>
    <w:rsid w:val="23201EE5"/>
    <w:rsid w:val="241EAE7D"/>
    <w:rsid w:val="2D7DE2E7"/>
    <w:rsid w:val="30212D31"/>
    <w:rsid w:val="3F7520FF"/>
    <w:rsid w:val="45ACFCEB"/>
    <w:rsid w:val="471B1791"/>
    <w:rsid w:val="4B9EE227"/>
    <w:rsid w:val="4BDE1161"/>
    <w:rsid w:val="513650EB"/>
    <w:rsid w:val="55E319D2"/>
    <w:rsid w:val="63F25E60"/>
    <w:rsid w:val="7A1C121C"/>
    <w:rsid w:val="7BD2F2EE"/>
    <w:rsid w:val="7CB4C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99A12"/>
  <w15:chartTrackingRefBased/>
  <w15:docId w15:val="{85685579-A95F-4A56-9164-054EAB3B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65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26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AC"/>
  </w:style>
  <w:style w:type="paragraph" w:styleId="Footer">
    <w:name w:val="footer"/>
    <w:basedOn w:val="Normal"/>
    <w:link w:val="FooterChar"/>
    <w:uiPriority w:val="99"/>
    <w:unhideWhenUsed/>
    <w:rsid w:val="00912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mie@relevanceinternation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terton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 Vančová</dc:creator>
  <cp:keywords/>
  <dc:description/>
  <cp:lastModifiedBy>Veronika  Vančová</cp:lastModifiedBy>
  <cp:revision>12</cp:revision>
  <dcterms:created xsi:type="dcterms:W3CDTF">2025-04-16T14:30:00Z</dcterms:created>
  <dcterms:modified xsi:type="dcterms:W3CDTF">2025-04-23T13:07:00Z</dcterms:modified>
</cp:coreProperties>
</file>